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1E3" w:rsidRDefault="00956701">
      <w:pPr>
        <w:spacing w:line="360" w:lineRule="auto"/>
        <w:jc w:val="right"/>
        <w:rPr>
          <w:rFonts w:ascii="Times New Roman" w:eastAsia="Times New Roman" w:hAnsi="Times New Roman" w:cs="Times New Roman"/>
          <w:b/>
          <w:sz w:val="24"/>
          <w:szCs w:val="24"/>
          <w:u w:val="single"/>
        </w:rPr>
      </w:pPr>
      <w:bookmarkStart w:id="0" w:name="_gjdgxs" w:colFirst="0" w:colLast="0"/>
      <w:bookmarkEnd w:id="0"/>
      <w:r>
        <w:rPr>
          <w:rFonts w:ascii="Times New Roman" w:eastAsia="Times New Roman" w:hAnsi="Times New Roman" w:cs="Times New Roman"/>
          <w:b/>
          <w:sz w:val="24"/>
          <w:szCs w:val="24"/>
          <w:u w:val="single"/>
        </w:rPr>
        <w:t>O</w:t>
      </w:r>
      <w:r w:rsidR="008637D6">
        <w:rPr>
          <w:rFonts w:ascii="Times New Roman" w:eastAsia="Times New Roman" w:hAnsi="Times New Roman" w:cs="Times New Roman"/>
          <w:b/>
          <w:sz w:val="24"/>
          <w:szCs w:val="24"/>
          <w:u w:val="single"/>
        </w:rPr>
        <w:t xml:space="preserve">RDENANZA N°  </w:t>
      </w:r>
      <w:r w:rsidR="00B06BA2">
        <w:rPr>
          <w:rFonts w:ascii="Times New Roman" w:eastAsia="Times New Roman" w:hAnsi="Times New Roman" w:cs="Times New Roman"/>
          <w:b/>
          <w:sz w:val="24"/>
          <w:szCs w:val="24"/>
          <w:u w:val="single"/>
        </w:rPr>
        <w:t xml:space="preserve"> 82</w:t>
      </w:r>
      <w:r>
        <w:rPr>
          <w:rFonts w:ascii="Times New Roman" w:eastAsia="Times New Roman" w:hAnsi="Times New Roman" w:cs="Times New Roman"/>
          <w:b/>
          <w:sz w:val="24"/>
          <w:szCs w:val="24"/>
          <w:u w:val="single"/>
        </w:rPr>
        <w:t>– HCDPF - 2021</w:t>
      </w:r>
    </w:p>
    <w:p w:rsidR="009F31E3" w:rsidRDefault="00B06BA2">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Potrero de los Funes, 26</w:t>
      </w:r>
      <w:r w:rsidR="00956701">
        <w:rPr>
          <w:rFonts w:ascii="Times New Roman" w:eastAsia="Times New Roman" w:hAnsi="Times New Roman" w:cs="Times New Roman"/>
          <w:sz w:val="24"/>
          <w:szCs w:val="24"/>
        </w:rPr>
        <w:t xml:space="preserve"> de Mayo de 2021</w:t>
      </w:r>
    </w:p>
    <w:p w:rsidR="009F31E3" w:rsidRDefault="009F31E3">
      <w:pPr>
        <w:spacing w:line="360" w:lineRule="auto"/>
        <w:jc w:val="right"/>
        <w:rPr>
          <w:rFonts w:ascii="Times New Roman" w:eastAsia="Times New Roman" w:hAnsi="Times New Roman" w:cs="Times New Roman"/>
          <w:sz w:val="24"/>
          <w:szCs w:val="24"/>
        </w:rPr>
      </w:pPr>
    </w:p>
    <w:p w:rsidR="009F31E3" w:rsidRDefault="00956701">
      <w:pPr>
        <w:spacing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CONDONACIÓN DE DEUDA PARA JUBILADOS, PENSIONADOS, </w:t>
      </w:r>
    </w:p>
    <w:p w:rsidR="009F31E3" w:rsidRDefault="00956701">
      <w:pPr>
        <w:spacing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DISCAPACITADOS, </w:t>
      </w:r>
      <w:r w:rsidR="002B217D">
        <w:rPr>
          <w:rFonts w:ascii="Times New Roman" w:eastAsia="Times New Roman" w:hAnsi="Times New Roman" w:cs="Times New Roman"/>
          <w:b/>
          <w:sz w:val="24"/>
          <w:szCs w:val="24"/>
          <w:u w:val="single"/>
        </w:rPr>
        <w:t>EX COMBAT</w:t>
      </w:r>
      <w:r>
        <w:rPr>
          <w:rFonts w:ascii="Times New Roman" w:eastAsia="Times New Roman" w:hAnsi="Times New Roman" w:cs="Times New Roman"/>
          <w:b/>
          <w:sz w:val="24"/>
          <w:szCs w:val="24"/>
          <w:u w:val="single"/>
        </w:rPr>
        <w:t xml:space="preserve">IENTES  Y CONTRIBUYENTES </w:t>
      </w:r>
    </w:p>
    <w:p w:rsidR="009F31E3" w:rsidRDefault="00956701">
      <w:pPr>
        <w:spacing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EN SITUACION DE VULNERABILIDAD</w:t>
      </w:r>
    </w:p>
    <w:p w:rsidR="009F31E3" w:rsidRDefault="009F31E3">
      <w:pPr>
        <w:spacing w:line="360" w:lineRule="auto"/>
        <w:jc w:val="center"/>
        <w:rPr>
          <w:rFonts w:ascii="Times New Roman" w:eastAsia="Times New Roman" w:hAnsi="Times New Roman" w:cs="Times New Roman"/>
          <w:b/>
          <w:sz w:val="24"/>
          <w:szCs w:val="24"/>
          <w:u w:val="single"/>
        </w:rPr>
      </w:pPr>
    </w:p>
    <w:p w:rsidR="009F31E3" w:rsidRDefault="0095670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VISTO:</w:t>
      </w:r>
    </w:p>
    <w:p w:rsidR="009F31E3" w:rsidRDefault="009567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Ordenanza N° 77-HCDPF-2020, y la facultad del Ejecutivo Municipal de efectuar desgravaciones y/o reducciones en el pago de la Contribución que incide sobre inmuebles;</w:t>
      </w:r>
    </w:p>
    <w:p w:rsidR="009F31E3" w:rsidRDefault="009567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necesidad de aplicar mecanismos, a fin de atender la situación de los contribuyentes que poseen deuda con la Tasa que incide sobre la Contribución sobre Inmuebles al día de la fecha, y no pueden abonarla por el actual contexto económico social, y;</w:t>
      </w:r>
    </w:p>
    <w:p w:rsidR="009F31E3" w:rsidRDefault="0095670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CONSIDERANDO:</w:t>
      </w:r>
    </w:p>
    <w:p w:rsidR="009F31E3" w:rsidRDefault="00956701">
      <w:pPr>
        <w:spacing w:line="360" w:lineRule="auto"/>
        <w:ind w:firstLine="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Que la situación de Pandemia declarada por el virus COVID-19, ha puesto en riesgo la situación económica y reducido los ingresos de los sectores más humildes, jubilados, pensionados, discapacitados y ex combatientes producto de la cuarentena que hemos debido respetar;</w:t>
      </w:r>
    </w:p>
    <w:p w:rsidR="009F31E3" w:rsidRDefault="00956701">
      <w:pPr>
        <w:spacing w:line="360" w:lineRule="auto"/>
        <w:ind w:firstLine="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son los jubilados, pensionados, ex combatientes y personas con discapacidad los sectores más desamparados, y menos tenidos en cuenta;</w:t>
      </w:r>
    </w:p>
    <w:p w:rsidR="009F31E3" w:rsidRDefault="00956701">
      <w:pPr>
        <w:spacing w:line="360" w:lineRule="auto"/>
        <w:ind w:firstLine="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resulta necesario avanzar en un régimen de condonación de deuda y llevar un poco de alivio a jubilados, pensionados, discapacitados, excombatientes; y titulares de inmuebles en situación de vulnerabilidad económica y social; </w:t>
      </w:r>
    </w:p>
    <w:p w:rsidR="009F31E3" w:rsidRDefault="00956701">
      <w:pPr>
        <w:spacing w:line="360" w:lineRule="auto"/>
        <w:ind w:firstLine="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la decisión no busca generar agujeros presupuestarios o fiscales al Municipio;</w:t>
      </w:r>
    </w:p>
    <w:p w:rsidR="009F31E3" w:rsidRDefault="00956701">
      <w:pPr>
        <w:spacing w:line="360" w:lineRule="auto"/>
        <w:ind w:firstLine="2127"/>
        <w:jc w:val="both"/>
        <w:rPr>
          <w:rFonts w:ascii="Times New Roman" w:eastAsia="Times New Roman" w:hAnsi="Times New Roman" w:cs="Times New Roman"/>
          <w:sz w:val="24"/>
          <w:szCs w:val="24"/>
        </w:rPr>
      </w:pPr>
      <w:bookmarkStart w:id="1" w:name="_GoBack"/>
      <w:bookmarkEnd w:id="1"/>
      <w:r>
        <w:rPr>
          <w:rFonts w:ascii="Times New Roman" w:eastAsia="Times New Roman" w:hAnsi="Times New Roman" w:cs="Times New Roman"/>
          <w:sz w:val="24"/>
          <w:szCs w:val="24"/>
        </w:rPr>
        <w:lastRenderedPageBreak/>
        <w:t>Que el universo de personas que serían alcanzadas por la condonación ya se encuentran contemplados por el régimen de desgravaciones y/o reducciones, Capítulo IV de la Ordenanza N° 77-HCDPF-2020;</w:t>
      </w:r>
    </w:p>
    <w:p w:rsidR="009F31E3" w:rsidRDefault="009F7E5F">
      <w:pPr>
        <w:spacing w:line="360" w:lineRule="auto"/>
        <w:ind w:firstLine="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el art.</w:t>
      </w:r>
      <w:r w:rsidR="00956701">
        <w:rPr>
          <w:rFonts w:ascii="Times New Roman" w:eastAsia="Times New Roman" w:hAnsi="Times New Roman" w:cs="Times New Roman"/>
          <w:sz w:val="24"/>
          <w:szCs w:val="24"/>
        </w:rPr>
        <w:t xml:space="preserve"> 28° de la citada norma hace expresa mención de los casos contemplados, estableciendo en cada inciso los beneficios a los que pueden acceder si dieran cumplimiento a los requisitos previstos por el art. 32; </w:t>
      </w:r>
    </w:p>
    <w:p w:rsidR="009F31E3" w:rsidRDefault="00956701">
      <w:pPr>
        <w:spacing w:line="360" w:lineRule="auto"/>
        <w:ind w:firstLine="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w:t>
      </w:r>
      <w:r w:rsidRPr="009F7E5F">
        <w:rPr>
          <w:rFonts w:ascii="Times New Roman" w:eastAsia="Times New Roman" w:hAnsi="Times New Roman" w:cs="Times New Roman"/>
          <w:sz w:val="24"/>
          <w:szCs w:val="24"/>
        </w:rPr>
        <w:t xml:space="preserve">el </w:t>
      </w:r>
      <w:r w:rsidR="009F7E5F">
        <w:rPr>
          <w:rFonts w:ascii="Times New Roman" w:eastAsia="Times New Roman" w:hAnsi="Times New Roman" w:cs="Times New Roman"/>
          <w:sz w:val="24"/>
          <w:szCs w:val="24"/>
        </w:rPr>
        <w:t>art.</w:t>
      </w:r>
      <w:r w:rsidR="009F7E5F" w:rsidRPr="009F7E5F">
        <w:rPr>
          <w:rFonts w:ascii="Times New Roman" w:eastAsia="Times New Roman" w:hAnsi="Times New Roman" w:cs="Times New Roman"/>
          <w:sz w:val="24"/>
          <w:szCs w:val="24"/>
        </w:rPr>
        <w:t xml:space="preserve"> 3</w:t>
      </w:r>
      <w:r w:rsidR="009F7E5F">
        <w:rPr>
          <w:rFonts w:ascii="Times New Roman" w:eastAsia="Times New Roman" w:hAnsi="Times New Roman" w:cs="Times New Roman"/>
          <w:sz w:val="24"/>
          <w:szCs w:val="24"/>
        </w:rPr>
        <w:t>1</w:t>
      </w:r>
      <w:r w:rsidRPr="009F7E5F">
        <w:rPr>
          <w:rFonts w:ascii="Times New Roman" w:eastAsia="Times New Roman" w:hAnsi="Times New Roman" w:cs="Times New Roman"/>
          <w:sz w:val="24"/>
          <w:szCs w:val="24"/>
        </w:rPr>
        <w:t xml:space="preserve"> de la Ordenanza N° 77-HCDPF-2020 exige</w:t>
      </w:r>
      <w:r>
        <w:rPr>
          <w:rFonts w:ascii="Times New Roman" w:eastAsia="Times New Roman" w:hAnsi="Times New Roman" w:cs="Times New Roman"/>
          <w:sz w:val="24"/>
          <w:szCs w:val="24"/>
        </w:rPr>
        <w:t xml:space="preserve"> como requisito previo a su otorgamiento la solicitud expresa de la misma antes del 31 de enero de cada año; por lo que la misma se transforma en una obligación de carácter anual, que solo aumenta la burocracia administrativa;</w:t>
      </w:r>
    </w:p>
    <w:p w:rsidR="009F31E3" w:rsidRDefault="00956701">
      <w:pPr>
        <w:spacing w:line="360" w:lineRule="auto"/>
        <w:ind w:firstLine="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es responsabilidad del Estado, en sus diferentes niveles, generar mecanismos que contribuyan a una más equitativa distribución del ingreso;</w:t>
      </w:r>
    </w:p>
    <w:p w:rsidR="009F31E3" w:rsidRDefault="00956701">
      <w:pPr>
        <w:spacing w:line="360" w:lineRule="auto"/>
        <w:ind w:firstLine="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Que resulta posible a los Municipios propender a ello a través de medidas concretas, de acuerdo con sus posibilidades y con las atribuciones conferidas por la ley siendo uno de los medios específicos para tal fin las exenciones impositivas, así como las condonaciones de deuda, las que al igual que el poder de imposición, deben respetar el principio de legalidad tributaria </w:t>
      </w:r>
    </w:p>
    <w:p w:rsidR="009F31E3" w:rsidRDefault="00956701">
      <w:pPr>
        <w:spacing w:line="360" w:lineRule="auto"/>
        <w:ind w:firstLine="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Que es el Concejo como órgano legislativo, el único con poder para autorizar la condonación de deudas porque los principios y preceptos constitucionales prohíben a otro Poder que no sea el legislativo, el establecimiento de impuestos, contribuciones y tasas.</w:t>
      </w:r>
    </w:p>
    <w:p w:rsidR="009F31E3" w:rsidRDefault="00956701">
      <w:pPr>
        <w:spacing w:line="360" w:lineRule="auto"/>
        <w:ind w:firstLine="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Que en la Provincia de San Luis y en otros distritos del país, se encuentran exentos del pago de tasas municipales los jubilados y pensionados, las personas con necesidades especiales, los establecimientos de asistencia social gratuita, las universidades nacionales, los inmuebles que hayan sido declarados monumentos históricos por leyes nacionales o provinciales, las entidades deportivas y otras entidades de bien público, etc.</w:t>
      </w:r>
    </w:p>
    <w:p w:rsidR="009F31E3" w:rsidRDefault="00956701">
      <w:pPr>
        <w:spacing w:line="360" w:lineRule="auto"/>
        <w:ind w:firstLine="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la presente iniciativa tiende a autorizar a los Municipios, previa sanción de la respectiva ordenanza de sus Honorables Concejos Deliberantes, a condonar deudas de capital e interés de tasas que les son propias, cuando razones de índole social así lo justifiquen, a fin de atender también de esa manera a la solución de la problemática. Esto implica morigerar la carga económica que en casos específicos implican las tasas municipales, para determinados contribuyentes que por razones laborales, sociales, económicas, se encuentren imposibilitados de afrontar dicha erogación, en forma permanente, transitoria o circunstancial.</w:t>
      </w:r>
    </w:p>
    <w:p w:rsidR="009F31E3" w:rsidRDefault="00956701">
      <w:pPr>
        <w:spacing w:line="360" w:lineRule="auto"/>
        <w:ind w:firstLine="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ello y en uso de sus atribuciones,</w:t>
      </w:r>
    </w:p>
    <w:p w:rsidR="009F31E3" w:rsidRDefault="009F31E3">
      <w:pPr>
        <w:spacing w:line="360" w:lineRule="auto"/>
        <w:ind w:firstLine="2127"/>
        <w:jc w:val="both"/>
        <w:rPr>
          <w:rFonts w:ascii="Times New Roman" w:eastAsia="Times New Roman" w:hAnsi="Times New Roman" w:cs="Times New Roman"/>
          <w:sz w:val="24"/>
          <w:szCs w:val="24"/>
        </w:rPr>
      </w:pPr>
    </w:p>
    <w:p w:rsidR="009F31E3" w:rsidRDefault="0095670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EL HONORABLE CONCEJO DELIBERANTE DE LA MUNICIPALIDAD DE POTRERO DE LOS FUNES, SANCIONA CON FUERZA DE:</w:t>
      </w:r>
    </w:p>
    <w:p w:rsidR="009F31E3" w:rsidRDefault="00956701">
      <w:pPr>
        <w:pStyle w:val="Ttulo2"/>
        <w:spacing w:line="360" w:lineRule="auto"/>
        <w:rPr>
          <w:rFonts w:ascii="Times New Roman" w:eastAsia="Times New Roman" w:hAnsi="Times New Roman" w:cs="Times New Roman"/>
          <w:u w:val="none"/>
        </w:rPr>
      </w:pPr>
      <w:r>
        <w:rPr>
          <w:rFonts w:ascii="Times New Roman" w:eastAsia="Times New Roman" w:hAnsi="Times New Roman" w:cs="Times New Roman"/>
          <w:u w:val="none"/>
        </w:rPr>
        <w:t>ORDENANZA:</w:t>
      </w:r>
    </w:p>
    <w:p w:rsidR="009F31E3" w:rsidRDefault="009F31E3">
      <w:pPr>
        <w:spacing w:line="360" w:lineRule="auto"/>
        <w:rPr>
          <w:rFonts w:ascii="Times New Roman" w:eastAsia="Times New Roman" w:hAnsi="Times New Roman" w:cs="Times New Roman"/>
          <w:sz w:val="24"/>
          <w:szCs w:val="24"/>
        </w:rPr>
      </w:pP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Art. 1º</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ab/>
        <w:t>Facúltese al Departamento Ejecutivo a condonar  toda deuda exigible más sus intereses correspondientes a Tasas Municipales, de aquellos contribuyentes pasibles de ser incorporados en el Régimen de Desgravaciones y/o Reducciones previsto en el Capítulo IV de la Ordenanza Tarifaria en vigencia.</w:t>
      </w:r>
    </w:p>
    <w:p w:rsidR="009F31E3" w:rsidRDefault="009F31E3">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Art. 2º</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El Departamento Ejecutivo, a través del Área que corresponda, elaborará la nómina de contribuyentes que adeudan tasas municipales, de acuerdo a los parámetros que determinen la condición socioeconómica a fin de acceder al beneficio.</w:t>
      </w:r>
    </w:p>
    <w:p w:rsidR="009F31E3" w:rsidRDefault="009F31E3">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Art. 3º</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Los pagos realizados por todos los conceptos que hubieran sido efectuados con anterioridad a su entrada en vigencia, quedaran firmes y no generaran derecho a repetición ni podrán deducirse o imputarse a obligaciones futuras.</w:t>
      </w:r>
    </w:p>
    <w:p w:rsidR="009F31E3" w:rsidRDefault="009F31E3">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Art. 4º</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Modificar el art. 28° inc. d)  Capítulo IV de la Ordenanza Tarifaria N° 77- HCDPF-2020, el cual quedará redactado de la siguiente manera: “Los usufructuarios y/o titulares de dominio de vivienda única, familiar y de ocupación permanente cuya única fuente de recursos fuere la asignación por jubilación o pensión. Los demás jubilados y pensionados tendrán las siguientes reducciones de tasas, a saber:</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Asignación por Jubilación y/o Pensión que no supere el equivalente a 1.500 UVM por mes, reducción del 80% del valor de la tasa;</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Asignación por Jubilación y/o Pensión que supere el equivalente a 1.500 UVM por mes, reducción del 50% del valor de la tasa;</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Los jubilados o pensionados cuyos haberes mensuales superen una suma equivalente a 2.000 UVM se encuentran expresamente excluidos de los beneficios establecidos en este punto.</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La boleta reflejará esta situación con la leyenda </w:t>
      </w:r>
      <w:r w:rsidRPr="009F7E5F">
        <w:rPr>
          <w:rFonts w:ascii="Times New Roman" w:eastAsia="Times New Roman" w:hAnsi="Times New Roman" w:cs="Times New Roman"/>
          <w:b/>
          <w:i/>
          <w:color w:val="000000"/>
          <w:sz w:val="24"/>
          <w:szCs w:val="24"/>
        </w:rPr>
        <w:t>"Descuento a Jubilados”.</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La Secretaría de Acción Social, La Mujer y Desarrollo Humano dependiente del Ejecutivo Municipal realizará la evaluación de cada caso.</w:t>
      </w:r>
    </w:p>
    <w:p w:rsidR="00300C6D" w:rsidRDefault="00300C6D">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p>
    <w:p w:rsidR="009F31E3" w:rsidRDefault="00300C6D">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sidRPr="001542EF">
        <w:rPr>
          <w:rFonts w:ascii="Times New Roman" w:eastAsia="Times New Roman" w:hAnsi="Times New Roman" w:cs="Times New Roman"/>
          <w:b/>
          <w:color w:val="000000"/>
          <w:sz w:val="24"/>
          <w:szCs w:val="24"/>
          <w:u w:val="single"/>
        </w:rPr>
        <w:t>Art. 5º</w:t>
      </w:r>
      <w:r w:rsidRPr="001542EF">
        <w:rPr>
          <w:rFonts w:ascii="Times New Roman" w:eastAsia="Times New Roman" w:hAnsi="Times New Roman" w:cs="Times New Roman"/>
          <w:b/>
          <w:color w:val="000000"/>
          <w:sz w:val="24"/>
          <w:szCs w:val="24"/>
        </w:rPr>
        <w:t>.-</w:t>
      </w:r>
      <w:r w:rsidRPr="001542EF">
        <w:rPr>
          <w:rFonts w:ascii="Times New Roman" w:eastAsia="Times New Roman" w:hAnsi="Times New Roman" w:cs="Times New Roman"/>
          <w:color w:val="000000"/>
          <w:sz w:val="24"/>
          <w:szCs w:val="24"/>
        </w:rPr>
        <w:t xml:space="preserve">Modificar el art. 28° inc. e) </w:t>
      </w:r>
      <w:r w:rsidR="009F7E5F">
        <w:rPr>
          <w:rFonts w:ascii="Times New Roman" w:eastAsia="Times New Roman" w:hAnsi="Times New Roman" w:cs="Times New Roman"/>
          <w:color w:val="000000"/>
          <w:sz w:val="24"/>
          <w:szCs w:val="24"/>
        </w:rPr>
        <w:t>del</w:t>
      </w:r>
      <w:r w:rsidRPr="001542EF">
        <w:rPr>
          <w:rFonts w:ascii="Times New Roman" w:eastAsia="Times New Roman" w:hAnsi="Times New Roman" w:cs="Times New Roman"/>
          <w:color w:val="000000"/>
          <w:sz w:val="24"/>
          <w:szCs w:val="24"/>
        </w:rPr>
        <w:t xml:space="preserve"> Capítulo IV de la Ordenanza Tarifaria N° 77- HCDPF-2020, el cual quedará redactado de la siguiente manera: Los excombatientes veteranos de Malvinas que posean algún inmueble en el ejido municipal gozaran de una </w:t>
      </w:r>
      <w:r w:rsidR="00B06BA2" w:rsidRPr="001542EF">
        <w:rPr>
          <w:rFonts w:ascii="Times New Roman" w:eastAsia="Times New Roman" w:hAnsi="Times New Roman" w:cs="Times New Roman"/>
          <w:color w:val="000000"/>
          <w:sz w:val="24"/>
          <w:szCs w:val="24"/>
        </w:rPr>
        <w:t>exención</w:t>
      </w:r>
      <w:r w:rsidRPr="001542EF">
        <w:rPr>
          <w:rFonts w:ascii="Times New Roman" w:eastAsia="Times New Roman" w:hAnsi="Times New Roman" w:cs="Times New Roman"/>
          <w:color w:val="000000"/>
          <w:sz w:val="24"/>
          <w:szCs w:val="24"/>
        </w:rPr>
        <w:t xml:space="preserve">del 100 % </w:t>
      </w:r>
      <w:r w:rsidR="001542EF" w:rsidRPr="001542EF">
        <w:rPr>
          <w:rFonts w:ascii="Times New Roman" w:eastAsia="Times New Roman" w:hAnsi="Times New Roman" w:cs="Times New Roman"/>
          <w:color w:val="000000"/>
          <w:sz w:val="24"/>
          <w:szCs w:val="24"/>
        </w:rPr>
        <w:t xml:space="preserve">de la presente contribuciónsobre </w:t>
      </w:r>
      <w:r w:rsidR="00DE6239" w:rsidRPr="001542EF">
        <w:rPr>
          <w:rFonts w:ascii="Times New Roman" w:eastAsia="Times New Roman" w:hAnsi="Times New Roman" w:cs="Times New Roman"/>
          <w:color w:val="000000"/>
          <w:sz w:val="24"/>
          <w:szCs w:val="24"/>
        </w:rPr>
        <w:t>propiedades que posea</w:t>
      </w:r>
      <w:r w:rsidR="001542EF" w:rsidRPr="001542EF">
        <w:rPr>
          <w:rFonts w:ascii="Times New Roman" w:eastAsia="Times New Roman" w:hAnsi="Times New Roman" w:cs="Times New Roman"/>
          <w:color w:val="000000"/>
          <w:sz w:val="24"/>
          <w:szCs w:val="24"/>
        </w:rPr>
        <w:t>n</w:t>
      </w:r>
      <w:r w:rsidR="006D1C3A">
        <w:rPr>
          <w:rFonts w:ascii="Times New Roman" w:eastAsia="Times New Roman" w:hAnsi="Times New Roman" w:cs="Times New Roman"/>
          <w:color w:val="000000"/>
          <w:sz w:val="24"/>
          <w:szCs w:val="24"/>
        </w:rPr>
        <w:t xml:space="preserve"> en el ejido municipal.</w:t>
      </w:r>
      <w:r w:rsidR="001542EF" w:rsidRPr="001542EF">
        <w:rPr>
          <w:rFonts w:ascii="Times New Roman" w:eastAsia="Times New Roman" w:hAnsi="Times New Roman" w:cs="Times New Roman"/>
          <w:color w:val="000000"/>
          <w:sz w:val="24"/>
          <w:szCs w:val="24"/>
        </w:rPr>
        <w:t xml:space="preserve"> La boleta reflejará esta situación con la leyen</w:t>
      </w:r>
      <w:r w:rsidR="001542EF">
        <w:rPr>
          <w:rFonts w:ascii="Times New Roman" w:eastAsia="Times New Roman" w:hAnsi="Times New Roman" w:cs="Times New Roman"/>
          <w:color w:val="000000"/>
          <w:sz w:val="24"/>
          <w:szCs w:val="24"/>
        </w:rPr>
        <w:t xml:space="preserve">da: </w:t>
      </w:r>
      <w:r w:rsidR="001542EF" w:rsidRPr="001542EF">
        <w:rPr>
          <w:rFonts w:ascii="Times New Roman" w:eastAsia="Times New Roman" w:hAnsi="Times New Roman" w:cs="Times New Roman"/>
          <w:b/>
          <w:i/>
          <w:color w:val="000000"/>
          <w:sz w:val="24"/>
          <w:szCs w:val="24"/>
        </w:rPr>
        <w:t>"Descuento excombatiente".</w:t>
      </w:r>
      <w:r w:rsidR="001542EF" w:rsidRPr="001542EF">
        <w:rPr>
          <w:rFonts w:ascii="Times New Roman" w:eastAsia="Times New Roman" w:hAnsi="Times New Roman" w:cs="Times New Roman"/>
          <w:color w:val="000000"/>
          <w:sz w:val="24"/>
          <w:szCs w:val="24"/>
        </w:rPr>
        <w:t xml:space="preserve"> A</w:t>
      </w:r>
      <w:r w:rsidR="001542EF">
        <w:rPr>
          <w:rFonts w:ascii="Times New Roman" w:eastAsia="Times New Roman" w:hAnsi="Times New Roman" w:cs="Times New Roman"/>
          <w:color w:val="000000"/>
          <w:sz w:val="24"/>
          <w:szCs w:val="24"/>
        </w:rPr>
        <w:t xml:space="preserve">los </w:t>
      </w:r>
      <w:r w:rsidR="00DE6239" w:rsidRPr="001542EF">
        <w:rPr>
          <w:rFonts w:ascii="Times New Roman" w:eastAsia="Times New Roman" w:hAnsi="Times New Roman" w:cs="Times New Roman"/>
          <w:color w:val="000000"/>
          <w:sz w:val="24"/>
          <w:szCs w:val="24"/>
        </w:rPr>
        <w:t>fin</w:t>
      </w:r>
      <w:r w:rsidR="001542EF">
        <w:rPr>
          <w:rFonts w:ascii="Times New Roman" w:eastAsia="Times New Roman" w:hAnsi="Times New Roman" w:cs="Times New Roman"/>
          <w:color w:val="000000"/>
          <w:sz w:val="24"/>
          <w:szCs w:val="24"/>
        </w:rPr>
        <w:t>es</w:t>
      </w:r>
      <w:r w:rsidR="00DE6239" w:rsidRPr="001542EF">
        <w:rPr>
          <w:rFonts w:ascii="Times New Roman" w:eastAsia="Times New Roman" w:hAnsi="Times New Roman" w:cs="Times New Roman"/>
          <w:color w:val="000000"/>
          <w:sz w:val="24"/>
          <w:szCs w:val="24"/>
        </w:rPr>
        <w:t xml:space="preserve"> de simplificar el </w:t>
      </w:r>
      <w:r w:rsidR="00DE6239" w:rsidRPr="001542EF">
        <w:rPr>
          <w:rFonts w:ascii="Times New Roman" w:eastAsia="Times New Roman" w:hAnsi="Times New Roman" w:cs="Times New Roman"/>
          <w:color w:val="000000"/>
          <w:sz w:val="24"/>
          <w:szCs w:val="24"/>
        </w:rPr>
        <w:lastRenderedPageBreak/>
        <w:t>acceso a este beneficio</w:t>
      </w:r>
      <w:r w:rsidR="001542EF">
        <w:rPr>
          <w:rFonts w:ascii="Times New Roman" w:eastAsia="Times New Roman" w:hAnsi="Times New Roman" w:cs="Times New Roman"/>
          <w:color w:val="000000"/>
          <w:sz w:val="24"/>
          <w:szCs w:val="24"/>
        </w:rPr>
        <w:t>,</w:t>
      </w:r>
      <w:r w:rsidR="00DE6239" w:rsidRPr="001542EF">
        <w:rPr>
          <w:rFonts w:ascii="Times New Roman" w:eastAsia="Times New Roman" w:hAnsi="Times New Roman" w:cs="Times New Roman"/>
          <w:color w:val="000000"/>
          <w:sz w:val="24"/>
          <w:szCs w:val="24"/>
        </w:rPr>
        <w:t xml:space="preserve"> el Ejecutivo</w:t>
      </w:r>
      <w:r w:rsidR="001542EF">
        <w:rPr>
          <w:rFonts w:ascii="Times New Roman" w:eastAsia="Times New Roman" w:hAnsi="Times New Roman" w:cs="Times New Roman"/>
          <w:color w:val="000000"/>
          <w:sz w:val="24"/>
          <w:szCs w:val="24"/>
        </w:rPr>
        <w:t xml:space="preserve"> Municipal</w:t>
      </w:r>
      <w:r w:rsidR="00DE6239" w:rsidRPr="001542EF">
        <w:rPr>
          <w:rFonts w:ascii="Times New Roman" w:eastAsia="Times New Roman" w:hAnsi="Times New Roman" w:cs="Times New Roman"/>
          <w:color w:val="000000"/>
          <w:sz w:val="24"/>
          <w:szCs w:val="24"/>
        </w:rPr>
        <w:t xml:space="preserve"> deberá confecciona</w:t>
      </w:r>
      <w:r w:rsidR="001542EF">
        <w:rPr>
          <w:rFonts w:ascii="Times New Roman" w:eastAsia="Times New Roman" w:hAnsi="Times New Roman" w:cs="Times New Roman"/>
          <w:color w:val="000000"/>
          <w:sz w:val="24"/>
          <w:szCs w:val="24"/>
        </w:rPr>
        <w:t>r un R</w:t>
      </w:r>
      <w:r w:rsidR="00DE6239" w:rsidRPr="001542EF">
        <w:rPr>
          <w:rFonts w:ascii="Times New Roman" w:eastAsia="Times New Roman" w:hAnsi="Times New Roman" w:cs="Times New Roman"/>
          <w:color w:val="000000"/>
          <w:sz w:val="24"/>
          <w:szCs w:val="24"/>
        </w:rPr>
        <w:t xml:space="preserve">egistro de </w:t>
      </w:r>
      <w:r w:rsidR="001542EF" w:rsidRPr="001542EF">
        <w:rPr>
          <w:rFonts w:ascii="Times New Roman" w:eastAsia="Times New Roman" w:hAnsi="Times New Roman" w:cs="Times New Roman"/>
          <w:color w:val="000000"/>
          <w:sz w:val="24"/>
          <w:szCs w:val="24"/>
        </w:rPr>
        <w:t xml:space="preserve">Ex Combatientes </w:t>
      </w:r>
      <w:r w:rsidR="001542EF">
        <w:rPr>
          <w:rFonts w:ascii="Times New Roman" w:eastAsia="Times New Roman" w:hAnsi="Times New Roman" w:cs="Times New Roman"/>
          <w:color w:val="000000"/>
          <w:sz w:val="24"/>
          <w:szCs w:val="24"/>
        </w:rPr>
        <w:t xml:space="preserve">de Malvinas, quienes </w:t>
      </w:r>
      <w:r w:rsidR="001542EF" w:rsidRPr="001542EF">
        <w:rPr>
          <w:rFonts w:ascii="Times New Roman" w:eastAsia="Times New Roman" w:hAnsi="Times New Roman" w:cs="Times New Roman"/>
          <w:color w:val="000000"/>
          <w:sz w:val="24"/>
          <w:szCs w:val="24"/>
        </w:rPr>
        <w:t>gozarán de este beneficio</w:t>
      </w:r>
      <w:r w:rsidR="00DE6239" w:rsidRPr="001542EF">
        <w:rPr>
          <w:rFonts w:ascii="Times New Roman" w:eastAsia="Times New Roman" w:hAnsi="Times New Roman" w:cs="Times New Roman"/>
          <w:color w:val="000000"/>
          <w:sz w:val="24"/>
          <w:szCs w:val="24"/>
        </w:rPr>
        <w:t xml:space="preserve"> a perpetuidad.</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xml:space="preserve">Art. </w:t>
      </w:r>
      <w:r w:rsidR="00DE6239">
        <w:rPr>
          <w:rFonts w:ascii="Times New Roman" w:eastAsia="Times New Roman" w:hAnsi="Times New Roman" w:cs="Times New Roman"/>
          <w:b/>
          <w:color w:val="000000"/>
          <w:sz w:val="24"/>
          <w:szCs w:val="24"/>
          <w:u w:val="single"/>
        </w:rPr>
        <w:t>6</w:t>
      </w:r>
      <w:r>
        <w:rPr>
          <w:rFonts w:ascii="Times New Roman" w:eastAsia="Times New Roman" w:hAnsi="Times New Roman" w:cs="Times New Roman"/>
          <w:b/>
          <w:color w:val="000000"/>
          <w:sz w:val="24"/>
          <w:szCs w:val="24"/>
          <w:u w:val="single"/>
        </w:rPr>
        <w:t>º</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Modificar el art 32° </w:t>
      </w:r>
      <w:r w:rsidR="009F7E5F">
        <w:rPr>
          <w:rFonts w:ascii="Times New Roman" w:eastAsia="Times New Roman" w:hAnsi="Times New Roman" w:cs="Times New Roman"/>
          <w:color w:val="000000"/>
          <w:sz w:val="24"/>
          <w:szCs w:val="24"/>
        </w:rPr>
        <w:t xml:space="preserve">del </w:t>
      </w:r>
      <w:r>
        <w:rPr>
          <w:rFonts w:ascii="Times New Roman" w:eastAsia="Times New Roman" w:hAnsi="Times New Roman" w:cs="Times New Roman"/>
          <w:color w:val="000000"/>
          <w:sz w:val="24"/>
          <w:szCs w:val="24"/>
        </w:rPr>
        <w:t>Capítulo IV de la Ordenanza N° 77-HCDPF-2020, el que quedará redactado de la siguiente manera: Para acceder a los beneficios previstos en el Art. 28º, el solicitante deberá reunir los siguientes requisitos:</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t>Para el caso del Inc. d) del Art. 28º de la presente, jubilados o pensionados:</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 xml:space="preserve">Quien solicite el beneficio no puede ser titular de más de una propiedad y su cónyuge no deberá poseer propiedad. Esta circunstancia deberá ser acreditada por certificado de única propiedad y de no poseer propiedad respectivamente, </w:t>
      </w:r>
      <w:proofErr w:type="gramStart"/>
      <w:r>
        <w:rPr>
          <w:rFonts w:ascii="Times New Roman" w:eastAsia="Times New Roman" w:hAnsi="Times New Roman" w:cs="Times New Roman"/>
          <w:color w:val="000000"/>
          <w:sz w:val="24"/>
          <w:szCs w:val="24"/>
        </w:rPr>
        <w:t>expedido</w:t>
      </w:r>
      <w:proofErr w:type="gramEnd"/>
      <w:r>
        <w:rPr>
          <w:rFonts w:ascii="Times New Roman" w:eastAsia="Times New Roman" w:hAnsi="Times New Roman" w:cs="Times New Roman"/>
          <w:color w:val="000000"/>
          <w:sz w:val="24"/>
          <w:szCs w:val="24"/>
        </w:rPr>
        <w:t xml:space="preserve"> por la Dirección Provincial de Ingresos Públicos Área de Geodesia y Catastro y de la jurisdicción provincial en la que hubiera residido anteriormente.</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En el caso en que el jubilado o pensionado sea Usufructuario de la propiedad que habita, también podrá solicitar el beneficio, presentando el comprobante de usufructo y un certificado de no poseer propiedad a su nombre y del cónyuge.</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Acreditar domicilio real en el ejido Municipal mediante Documento Nacional de Identidad de la persona que solicite el beneficio, (el que deberá coincidir con el inmueble), a tal efecto deberá presentar copia que acredite tal situación.</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Copia de recibo de sueldo o acreditación de ingresos por profesional competente, según corresponda.</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Informe de la Secretaría de Acción Social, La Mujer y Desarrollo Humano dependiente del Ejecutivo Municipal,</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t>En caso de discapacidad deberá presentar:</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Certificado médico.</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Declaración jurada que contenga como mínimo los siguientes datos: Integrantes del grupo familiar que habiten la propiedad, edad y actividad;</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Acreditar domicilio real en el ejido Municipal del grupo familiar, mediante Documento Nacional de Identidad, a tal efecto deberá presentar copia que acredite tal situación.</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Certificado de única propied</w:t>
      </w:r>
      <w:r w:rsidR="006D1C3A">
        <w:rPr>
          <w:rFonts w:ascii="Times New Roman" w:eastAsia="Times New Roman" w:hAnsi="Times New Roman" w:cs="Times New Roman"/>
          <w:color w:val="000000"/>
          <w:sz w:val="24"/>
          <w:szCs w:val="24"/>
        </w:rPr>
        <w:t>ad de la persona discapacitada o</w:t>
      </w:r>
      <w:r>
        <w:rPr>
          <w:rFonts w:ascii="Times New Roman" w:eastAsia="Times New Roman" w:hAnsi="Times New Roman" w:cs="Times New Roman"/>
          <w:color w:val="000000"/>
          <w:sz w:val="24"/>
          <w:szCs w:val="24"/>
        </w:rPr>
        <w:t xml:space="preserve"> de s</w:t>
      </w:r>
      <w:r w:rsidR="006D1C3A">
        <w:rPr>
          <w:rFonts w:ascii="Times New Roman" w:eastAsia="Times New Roman" w:hAnsi="Times New Roman" w:cs="Times New Roman"/>
          <w:color w:val="000000"/>
          <w:sz w:val="24"/>
          <w:szCs w:val="24"/>
        </w:rPr>
        <w:t>us padres, tutores o curadores.</w:t>
      </w: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Informe del área de Asistencia Social depe</w:t>
      </w:r>
      <w:r w:rsidR="006D1C3A">
        <w:rPr>
          <w:rFonts w:ascii="Times New Roman" w:eastAsia="Times New Roman" w:hAnsi="Times New Roman" w:cs="Times New Roman"/>
          <w:color w:val="000000"/>
          <w:sz w:val="24"/>
          <w:szCs w:val="24"/>
        </w:rPr>
        <w:t>ndiente del Ejecutivo Municipal.</w:t>
      </w:r>
    </w:p>
    <w:p w:rsidR="009F31E3" w:rsidRDefault="00956701">
      <w:pPr>
        <w:pBdr>
          <w:top w:val="nil"/>
          <w:left w:val="nil"/>
          <w:bottom w:val="nil"/>
          <w:right w:val="nil"/>
          <w:between w:val="nil"/>
        </w:pBdr>
        <w:spacing w:after="0" w:line="36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Es obligación del beneficiario o en su caso, herederos, comunicar de inmediato cualquier cambio en la situación que implique la variación en los requisitos que motivaron el otorgamiento del beneficio.</w:t>
      </w:r>
    </w:p>
    <w:p w:rsidR="009F31E3" w:rsidRDefault="00956701">
      <w:pPr>
        <w:pBdr>
          <w:top w:val="nil"/>
          <w:left w:val="nil"/>
          <w:bottom w:val="nil"/>
          <w:right w:val="nil"/>
          <w:between w:val="nil"/>
        </w:pBdr>
        <w:spacing w:after="0" w:line="36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En tal sentido se de</w:t>
      </w:r>
      <w:r w:rsidR="006D1C3A">
        <w:rPr>
          <w:rFonts w:ascii="Times New Roman" w:eastAsia="Times New Roman" w:hAnsi="Times New Roman" w:cs="Times New Roman"/>
          <w:color w:val="000000"/>
          <w:sz w:val="24"/>
          <w:szCs w:val="24"/>
        </w:rPr>
        <w:t>berá presentar, dentro de los 60</w:t>
      </w:r>
      <w:r>
        <w:rPr>
          <w:rFonts w:ascii="Times New Roman" w:eastAsia="Times New Roman" w:hAnsi="Times New Roman" w:cs="Times New Roman"/>
          <w:color w:val="000000"/>
          <w:sz w:val="24"/>
          <w:szCs w:val="24"/>
        </w:rPr>
        <w:t xml:space="preserve"> días de producido el cambio, la documentación que acredite la eventual modificación en original y copia.</w:t>
      </w:r>
    </w:p>
    <w:p w:rsidR="009F31E3" w:rsidRDefault="00956701">
      <w:pPr>
        <w:pBdr>
          <w:top w:val="nil"/>
          <w:left w:val="nil"/>
          <w:bottom w:val="nil"/>
          <w:right w:val="nil"/>
          <w:between w:val="nil"/>
        </w:pBdr>
        <w:spacing w:after="0" w:line="36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Los requisitos enunciados precedentemente no son taxativos, el Ejecutivo Municipal podrá incorporar nuevos o modificarlos de acuerdo a las características del caso.- </w:t>
      </w:r>
    </w:p>
    <w:p w:rsidR="009F31E3" w:rsidRDefault="009F31E3">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p>
    <w:p w:rsidR="009F31E3" w:rsidRDefault="00956701">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lastRenderedPageBreak/>
        <w:t xml:space="preserve">Art. </w:t>
      </w:r>
      <w:r w:rsidR="00DE6239">
        <w:rPr>
          <w:rFonts w:ascii="Times New Roman" w:eastAsia="Times New Roman" w:hAnsi="Times New Roman" w:cs="Times New Roman"/>
          <w:b/>
          <w:color w:val="000000"/>
          <w:sz w:val="24"/>
          <w:szCs w:val="24"/>
          <w:u w:val="single"/>
        </w:rPr>
        <w:t>7</w:t>
      </w:r>
      <w:r>
        <w:rPr>
          <w:rFonts w:ascii="Times New Roman" w:eastAsia="Times New Roman" w:hAnsi="Times New Roman" w:cs="Times New Roman"/>
          <w:b/>
          <w:color w:val="000000"/>
          <w:sz w:val="24"/>
          <w:szCs w:val="24"/>
          <w:u w:val="single"/>
        </w:rPr>
        <w:t>º</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ab/>
        <w:t>El órgano rector que estará a cargo será la Secretaría de Hacienda y Fortalecimiento Institucional, o el organismo que eventualmente lo reemplace, quien propondrá al titular del Ejecutivo Municipal la norma reglamentaria para la implementación del presente sistema.-</w:t>
      </w:r>
    </w:p>
    <w:p w:rsidR="009F31E3" w:rsidRDefault="009F31E3">
      <w:pPr>
        <w:pBdr>
          <w:top w:val="nil"/>
          <w:left w:val="nil"/>
          <w:bottom w:val="nil"/>
          <w:right w:val="nil"/>
          <w:between w:val="nil"/>
        </w:pBdr>
        <w:spacing w:after="0" w:line="360" w:lineRule="auto"/>
        <w:ind w:left="1134" w:right="20" w:hanging="1134"/>
        <w:jc w:val="both"/>
        <w:rPr>
          <w:rFonts w:ascii="Times New Roman" w:eastAsia="Times New Roman" w:hAnsi="Times New Roman" w:cs="Times New Roman"/>
          <w:color w:val="000000"/>
          <w:sz w:val="24"/>
          <w:szCs w:val="24"/>
        </w:rPr>
      </w:pPr>
    </w:p>
    <w:p w:rsidR="009F31E3" w:rsidRDefault="00956701">
      <w:pPr>
        <w:spacing w:line="360" w:lineRule="auto"/>
        <w:ind w:left="1134" w:right="20" w:hanging="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Art. </w:t>
      </w:r>
      <w:r w:rsidR="00DE6239">
        <w:rPr>
          <w:rFonts w:ascii="Times New Roman" w:eastAsia="Times New Roman" w:hAnsi="Times New Roman" w:cs="Times New Roman"/>
          <w:b/>
          <w:sz w:val="24"/>
          <w:szCs w:val="24"/>
          <w:u w:val="single"/>
        </w:rPr>
        <w:t>8</w:t>
      </w:r>
      <w:r>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t>Comunicar, publicar, dar al Registro Oficial y archivar.-</w:t>
      </w:r>
    </w:p>
    <w:sectPr w:rsidR="009F31E3" w:rsidSect="00B06BA2">
      <w:footerReference w:type="default" r:id="rId6"/>
      <w:headerReference w:type="first" r:id="rId7"/>
      <w:footerReference w:type="first" r:id="rId8"/>
      <w:pgSz w:w="12240" w:h="20160" w:code="5"/>
      <w:pgMar w:top="1417" w:right="1701" w:bottom="1417" w:left="1701" w:header="708" w:footer="708"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A86" w:rsidRDefault="00AD6A86">
      <w:pPr>
        <w:spacing w:after="0" w:line="240" w:lineRule="auto"/>
      </w:pPr>
      <w:r>
        <w:separator/>
      </w:r>
    </w:p>
  </w:endnote>
  <w:endnote w:type="continuationSeparator" w:id="1">
    <w:p w:rsidR="00AD6A86" w:rsidRDefault="00AD6A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1E3" w:rsidRDefault="00472FAD">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sidR="00956701">
      <w:rPr>
        <w:color w:val="000000"/>
      </w:rPr>
      <w:instrText>PAGE</w:instrText>
    </w:r>
    <w:r>
      <w:rPr>
        <w:color w:val="000000"/>
      </w:rPr>
      <w:fldChar w:fldCharType="separate"/>
    </w:r>
    <w:r w:rsidR="00BD18DC">
      <w:rPr>
        <w:noProof/>
        <w:color w:val="000000"/>
      </w:rPr>
      <w:t>5</w:t>
    </w:r>
    <w:r>
      <w:rPr>
        <w:color w:val="000000"/>
      </w:rPr>
      <w:fldChar w:fldCharType="end"/>
    </w:r>
  </w:p>
  <w:p w:rsidR="009F31E3" w:rsidRDefault="009F31E3">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327705"/>
      <w:docPartObj>
        <w:docPartGallery w:val="Page Numbers (Bottom of Page)"/>
        <w:docPartUnique/>
      </w:docPartObj>
    </w:sdtPr>
    <w:sdtContent>
      <w:p w:rsidR="00B06BA2" w:rsidRDefault="00472FAD">
        <w:pPr>
          <w:pStyle w:val="Piedepgina"/>
          <w:jc w:val="right"/>
        </w:pPr>
        <w:r>
          <w:fldChar w:fldCharType="begin"/>
        </w:r>
        <w:r w:rsidR="00B06BA2">
          <w:instrText>PAGE   \* MERGEFORMAT</w:instrText>
        </w:r>
        <w:r>
          <w:fldChar w:fldCharType="separate"/>
        </w:r>
        <w:r w:rsidR="00BD18DC">
          <w:rPr>
            <w:noProof/>
          </w:rPr>
          <w:t>1</w:t>
        </w:r>
        <w:r>
          <w:fldChar w:fldCharType="end"/>
        </w:r>
      </w:p>
    </w:sdtContent>
  </w:sdt>
  <w:p w:rsidR="00B06BA2" w:rsidRDefault="00B06BA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A86" w:rsidRDefault="00AD6A86">
      <w:pPr>
        <w:spacing w:after="0" w:line="240" w:lineRule="auto"/>
      </w:pPr>
      <w:r>
        <w:separator/>
      </w:r>
    </w:p>
  </w:footnote>
  <w:footnote w:type="continuationSeparator" w:id="1">
    <w:p w:rsidR="00AD6A86" w:rsidRDefault="00AD6A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1E3" w:rsidRDefault="00956701">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noProof/>
        <w:color w:val="000000"/>
        <w:sz w:val="24"/>
        <w:szCs w:val="24"/>
        <w:lang w:eastAsia="es-ES"/>
      </w:rPr>
      <w:drawing>
        <wp:inline distT="0" distB="0" distL="0" distR="0">
          <wp:extent cx="1609725" cy="1543050"/>
          <wp:effectExtent l="0" t="0" r="0" b="0"/>
          <wp:docPr id="1" name="image1.png" descr="https://lh5.googleusercontent.com/MLcEDhkSfMsdt8ISd0D1lwSFLuzFjisOdp5dsCmmkA-Zvvtys8BOH8PHwEmDNLcxgco92jNMrkl-u9IE-rCgkQKIFE4tt66wMgwZitBeHKS1E1LUIXqPf5eDhZMv4onlI5y19igNpZx_QAWBMw"/>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MLcEDhkSfMsdt8ISd0D1lwSFLuzFjisOdp5dsCmmkA-Zvvtys8BOH8PHwEmDNLcxgco92jNMrkl-u9IE-rCgkQKIFE4tt66wMgwZitBeHKS1E1LUIXqPf5eDhZMv4onlI5y19igNpZx_QAWBMw"/>
                  <pic:cNvPicPr preferRelativeResize="0"/>
                </pic:nvPicPr>
                <pic:blipFill>
                  <a:blip r:embed="rId1"/>
                  <a:srcRect/>
                  <a:stretch>
                    <a:fillRect/>
                  </a:stretch>
                </pic:blipFill>
                <pic:spPr>
                  <a:xfrm>
                    <a:off x="0" y="0"/>
                    <a:ext cx="1609725" cy="1543050"/>
                  </a:xfrm>
                  <a:prstGeom prst="rect">
                    <a:avLst/>
                  </a:prstGeom>
                  <a:ln/>
                </pic:spPr>
              </pic:pic>
            </a:graphicData>
          </a:graphic>
        </wp:inline>
      </w:drawing>
    </w:r>
  </w:p>
  <w:p w:rsidR="009F31E3" w:rsidRDefault="00956701">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HONORABLE CONCEJO DELIBERANTE</w:t>
    </w:r>
  </w:p>
  <w:p w:rsidR="009F31E3" w:rsidRDefault="00956701">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 LA CIUDAD DE POTRERO DE LOS FUNES</w:t>
    </w:r>
  </w:p>
  <w:p w:rsidR="009F31E3" w:rsidRDefault="009F31E3">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0"/>
    <w:footnote w:id="1"/>
  </w:footnotePr>
  <w:endnotePr>
    <w:endnote w:id="0"/>
    <w:endnote w:id="1"/>
  </w:endnotePr>
  <w:compat/>
  <w:rsids>
    <w:rsidRoot w:val="009F31E3"/>
    <w:rsid w:val="00027BA1"/>
    <w:rsid w:val="0010625D"/>
    <w:rsid w:val="001542EF"/>
    <w:rsid w:val="002B217D"/>
    <w:rsid w:val="00300C6D"/>
    <w:rsid w:val="00472FAD"/>
    <w:rsid w:val="006D1C3A"/>
    <w:rsid w:val="008637D6"/>
    <w:rsid w:val="00956701"/>
    <w:rsid w:val="009F31E3"/>
    <w:rsid w:val="009F7E5F"/>
    <w:rsid w:val="00AC2AC6"/>
    <w:rsid w:val="00AD6A86"/>
    <w:rsid w:val="00B06BA2"/>
    <w:rsid w:val="00BD18DC"/>
    <w:rsid w:val="00C131DF"/>
    <w:rsid w:val="00DE6239"/>
    <w:rsid w:val="00F32C69"/>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 w:eastAsia="es-AR"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FAD"/>
  </w:style>
  <w:style w:type="paragraph" w:styleId="Ttulo1">
    <w:name w:val="heading 1"/>
    <w:basedOn w:val="Normal"/>
    <w:next w:val="Normal"/>
    <w:uiPriority w:val="9"/>
    <w:qFormat/>
    <w:rsid w:val="00472FAD"/>
    <w:pPr>
      <w:keepNext/>
      <w:keepLines/>
      <w:spacing w:before="480" w:after="120"/>
      <w:outlineLvl w:val="0"/>
    </w:pPr>
    <w:rPr>
      <w:b/>
      <w:sz w:val="48"/>
      <w:szCs w:val="48"/>
    </w:rPr>
  </w:style>
  <w:style w:type="paragraph" w:styleId="Ttulo2">
    <w:name w:val="heading 2"/>
    <w:basedOn w:val="Normal"/>
    <w:next w:val="Normal"/>
    <w:uiPriority w:val="9"/>
    <w:unhideWhenUsed/>
    <w:qFormat/>
    <w:rsid w:val="00472FAD"/>
    <w:pPr>
      <w:keepNext/>
      <w:spacing w:after="0" w:line="240" w:lineRule="auto"/>
      <w:jc w:val="center"/>
      <w:outlineLvl w:val="1"/>
    </w:pPr>
    <w:rPr>
      <w:rFonts w:ascii="Arial" w:eastAsia="Arial" w:hAnsi="Arial" w:cs="Arial"/>
      <w:b/>
      <w:sz w:val="24"/>
      <w:szCs w:val="24"/>
      <w:u w:val="single"/>
    </w:rPr>
  </w:style>
  <w:style w:type="paragraph" w:styleId="Ttulo3">
    <w:name w:val="heading 3"/>
    <w:basedOn w:val="Normal"/>
    <w:next w:val="Normal"/>
    <w:uiPriority w:val="9"/>
    <w:semiHidden/>
    <w:unhideWhenUsed/>
    <w:qFormat/>
    <w:rsid w:val="00472FAD"/>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472FAD"/>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472FAD"/>
    <w:pPr>
      <w:keepNext/>
      <w:keepLines/>
      <w:spacing w:before="220" w:after="40"/>
      <w:outlineLvl w:val="4"/>
    </w:pPr>
    <w:rPr>
      <w:b/>
    </w:rPr>
  </w:style>
  <w:style w:type="paragraph" w:styleId="Ttulo6">
    <w:name w:val="heading 6"/>
    <w:basedOn w:val="Normal"/>
    <w:next w:val="Normal"/>
    <w:uiPriority w:val="9"/>
    <w:semiHidden/>
    <w:unhideWhenUsed/>
    <w:qFormat/>
    <w:rsid w:val="00472FA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472FAD"/>
    <w:tblPr>
      <w:tblCellMar>
        <w:top w:w="0" w:type="dxa"/>
        <w:left w:w="0" w:type="dxa"/>
        <w:bottom w:w="0" w:type="dxa"/>
        <w:right w:w="0" w:type="dxa"/>
      </w:tblCellMar>
    </w:tblPr>
  </w:style>
  <w:style w:type="paragraph" w:styleId="Ttulo">
    <w:name w:val="Title"/>
    <w:basedOn w:val="Normal"/>
    <w:next w:val="Normal"/>
    <w:uiPriority w:val="10"/>
    <w:qFormat/>
    <w:rsid w:val="00472FAD"/>
    <w:pPr>
      <w:keepNext/>
      <w:keepLines/>
      <w:spacing w:before="480" w:after="120"/>
    </w:pPr>
    <w:rPr>
      <w:b/>
      <w:sz w:val="72"/>
      <w:szCs w:val="72"/>
    </w:rPr>
  </w:style>
  <w:style w:type="paragraph" w:styleId="Subttulo">
    <w:name w:val="Subtitle"/>
    <w:basedOn w:val="Normal"/>
    <w:next w:val="Normal"/>
    <w:uiPriority w:val="11"/>
    <w:qFormat/>
    <w:rsid w:val="00472FAD"/>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B06B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6BA2"/>
    <w:rPr>
      <w:rFonts w:ascii="Tahoma" w:hAnsi="Tahoma" w:cs="Tahoma"/>
      <w:sz w:val="16"/>
      <w:szCs w:val="16"/>
    </w:rPr>
  </w:style>
  <w:style w:type="paragraph" w:styleId="Encabezado">
    <w:name w:val="header"/>
    <w:basedOn w:val="Normal"/>
    <w:link w:val="EncabezadoCar"/>
    <w:uiPriority w:val="99"/>
    <w:unhideWhenUsed/>
    <w:rsid w:val="00B06B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6BA2"/>
  </w:style>
  <w:style w:type="paragraph" w:styleId="Piedepgina">
    <w:name w:val="footer"/>
    <w:basedOn w:val="Normal"/>
    <w:link w:val="PiedepginaCar"/>
    <w:uiPriority w:val="99"/>
    <w:unhideWhenUsed/>
    <w:rsid w:val="00B06B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6B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AR"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spacing w:after="0" w:line="240" w:lineRule="auto"/>
      <w:jc w:val="center"/>
      <w:outlineLvl w:val="1"/>
    </w:pPr>
    <w:rPr>
      <w:rFonts w:ascii="Arial" w:eastAsia="Arial" w:hAnsi="Arial" w:cs="Arial"/>
      <w:b/>
      <w:sz w:val="24"/>
      <w:szCs w:val="24"/>
      <w:u w:val="single"/>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B06B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6BA2"/>
    <w:rPr>
      <w:rFonts w:ascii="Tahoma" w:hAnsi="Tahoma" w:cs="Tahoma"/>
      <w:sz w:val="16"/>
      <w:szCs w:val="16"/>
    </w:rPr>
  </w:style>
  <w:style w:type="paragraph" w:styleId="Encabezado">
    <w:name w:val="header"/>
    <w:basedOn w:val="Normal"/>
    <w:link w:val="EncabezadoCar"/>
    <w:uiPriority w:val="99"/>
    <w:unhideWhenUsed/>
    <w:rsid w:val="00B06B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6BA2"/>
  </w:style>
  <w:style w:type="paragraph" w:styleId="Piedepgina">
    <w:name w:val="footer"/>
    <w:basedOn w:val="Normal"/>
    <w:link w:val="PiedepginaCar"/>
    <w:uiPriority w:val="99"/>
    <w:unhideWhenUsed/>
    <w:rsid w:val="00B06B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6BA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8080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dc:creator>
  <cp:lastModifiedBy>usuario</cp:lastModifiedBy>
  <cp:revision>2</cp:revision>
  <cp:lastPrinted>2021-05-26T14:23:00Z</cp:lastPrinted>
  <dcterms:created xsi:type="dcterms:W3CDTF">2021-08-04T13:35:00Z</dcterms:created>
  <dcterms:modified xsi:type="dcterms:W3CDTF">2021-08-04T13:35:00Z</dcterms:modified>
</cp:coreProperties>
</file>